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eastAsia="MS Mincho;ＭＳ 明朝" w:cs="Times New Roman"/>
          <w:b/>
          <w:b/>
          <w:bCs/>
          <w:sz w:val="32"/>
        </w:rPr>
      </w:pPr>
      <w:r>
        <w:rPr/>
      </w:r>
    </w:p>
    <w:p>
      <w:pPr>
        <w:pStyle w:val="Normal"/>
        <w:jc w:val="center"/>
        <w:rPr>
          <w:rFonts w:eastAsia="MS Mincho;ＭＳ 明朝" w:cs="Times New Roman"/>
          <w:b/>
          <w:b/>
          <w:bCs/>
          <w:sz w:val="32"/>
        </w:rPr>
      </w:pPr>
      <w:r>
        <w:rPr/>
      </w:r>
    </w:p>
    <w:p>
      <w:pPr>
        <w:pStyle w:val="Normal"/>
        <w:jc w:val="center"/>
        <w:rPr/>
      </w:pPr>
      <w:r>
        <w:rPr>
          <w:rFonts w:eastAsia="MS Mincho;ＭＳ 明朝" w:cs="Times New Roman"/>
          <w:b/>
          <w:bCs/>
          <w:sz w:val="32"/>
        </w:rPr>
        <w:t xml:space="preserve">OBEC </w:t>
      </w:r>
      <w:r>
        <w:rPr>
          <w:rFonts w:eastAsia="MS Mincho;ＭＳ 明朝" w:cs="Times New Roman"/>
          <w:b/>
          <w:bCs/>
          <w:color w:val="00000A"/>
          <w:kern w:val="2"/>
          <w:sz w:val="32"/>
          <w:szCs w:val="24"/>
          <w:lang w:val="sk-SK" w:eastAsia="zh-CN" w:bidi="hi-IN"/>
        </w:rPr>
        <w:t>VYŠNÝ HRUŠOV</w:t>
      </w:r>
    </w:p>
    <w:p>
      <w:pPr>
        <w:pStyle w:val="Normal"/>
        <w:bidi w:val="0"/>
        <w:jc w:val="center"/>
        <w:rPr/>
      </w:pPr>
      <w:r>
        <w:rPr>
          <w:rFonts w:eastAsia="MS Mincho;ＭＳ 明朝" w:cs="Times New Roman"/>
          <w:b w:val="false"/>
          <w:bCs w:val="false"/>
          <w:i w:val="false"/>
          <w:iCs w:val="false"/>
          <w:color w:val="00000A"/>
          <w:kern w:val="2"/>
          <w:sz w:val="24"/>
          <w:szCs w:val="22"/>
          <w:u w:val="none"/>
          <w:lang w:val="sk-SK" w:eastAsia="zh-CN" w:bidi="hi-IN"/>
        </w:rPr>
        <w:t>067 32 Vyšný Hrušov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 xml:space="preserve">Číslo:  </w:t>
      </w:r>
      <w:r>
        <w:rPr>
          <w:rStyle w:val="Zkladntext"/>
          <w:rFonts w:eastAsia="Times New Roman" w:cs="Times New Roman"/>
          <w:b w:val="false"/>
          <w:bCs w:val="false"/>
          <w:color w:val="00000A"/>
          <w:kern w:val="2"/>
          <w:sz w:val="22"/>
          <w:szCs w:val="22"/>
          <w:u w:val="none"/>
          <w:lang w:val="sk-SK" w:eastAsia="zh-CN" w:bidi="hi-IN"/>
        </w:rPr>
        <w:t xml:space="preserve"> 20/2023</w:t>
      </w:r>
      <w:r>
        <w:rPr>
          <w:rStyle w:val="Zkladntext"/>
          <w:rFonts w:eastAsia="Times New Roman" w:cs="Times New Roman"/>
          <w:b w:val="false"/>
          <w:bCs w:val="false"/>
          <w:sz w:val="22"/>
          <w:szCs w:val="22"/>
          <w:u w:val="none"/>
        </w:rPr>
        <w:t xml:space="preserve"> </w:t>
      </w:r>
      <w:r>
        <w:rPr>
          <w:rStyle w:val="Zkladntext"/>
          <w:rFonts w:eastAsia="MS Mincho;ＭＳ 明朝"/>
          <w:sz w:val="24"/>
        </w:rPr>
        <w:t xml:space="preserve">                                                                                  </w:t>
      </w:r>
      <w:r>
        <w:rPr>
          <w:rStyle w:val="Zkladntext"/>
          <w:rFonts w:eastAsia="MS Mincho;ＭＳ 明朝"/>
          <w:sz w:val="24"/>
        </w:rPr>
        <w:t>Vyšný Hrušov</w:t>
      </w:r>
      <w:r>
        <w:rPr>
          <w:rStyle w:val="Zkladntext"/>
          <w:rFonts w:eastAsia="MS Mincho;ＭＳ 明朝"/>
          <w:sz w:val="24"/>
        </w:rPr>
        <w:t xml:space="preserve">, dňa </w:t>
      </w:r>
      <w:r>
        <w:rPr>
          <w:rStyle w:val="Zkladntext"/>
          <w:rFonts w:eastAsia="MS Mincho;ＭＳ 明朝"/>
          <w:sz w:val="24"/>
        </w:rPr>
        <w:t>6</w:t>
      </w:r>
      <w:r>
        <w:rPr>
          <w:rStyle w:val="Zkladntext"/>
          <w:rFonts w:eastAsia="MS Mincho;ＭＳ 明朝"/>
          <w:sz w:val="24"/>
        </w:rPr>
        <w:t>.</w:t>
      </w:r>
      <w:r>
        <w:rPr>
          <w:rStyle w:val="Zkladntext"/>
          <w:rFonts w:eastAsia="MS Mincho;ＭＳ 明朝"/>
          <w:sz w:val="24"/>
        </w:rPr>
        <w:t>6</w:t>
      </w:r>
      <w:r>
        <w:rPr>
          <w:rStyle w:val="Zkladntext"/>
          <w:rFonts w:eastAsia="MS Mincho;ＭＳ 明朝"/>
          <w:sz w:val="24"/>
        </w:rPr>
        <w:t>.202</w:t>
      </w:r>
      <w:r>
        <w:rPr>
          <w:rStyle w:val="Zkladntext"/>
          <w:rFonts w:eastAsia="MS Mincho;ＭＳ 明朝"/>
          <w:sz w:val="24"/>
        </w:rPr>
        <w:t>3</w:t>
      </w:r>
    </w:p>
    <w:p>
      <w:pPr>
        <w:pStyle w:val="Obyajntext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rPr/>
      </w:pPr>
      <w:r>
        <w:rPr>
          <w:rStyle w:val="Zkladntext"/>
          <w:rFonts w:eastAsia="MS Mincho;ＭＳ 明朝"/>
          <w:sz w:val="24"/>
        </w:rPr>
        <w:tab/>
        <w:tab/>
        <w:tab/>
        <w:tab/>
        <w:tab/>
        <w:tab/>
        <w:tab/>
      </w:r>
    </w:p>
    <w:p>
      <w:pPr>
        <w:pStyle w:val="Obyajntext"/>
        <w:jc w:val="center"/>
        <w:rPr/>
      </w:pPr>
      <w:r>
        <w:rPr>
          <w:rStyle w:val="Zkladntext"/>
          <w:rFonts w:eastAsia="MS Mincho;ＭＳ 明朝"/>
          <w:b/>
          <w:bCs/>
          <w:sz w:val="24"/>
        </w:rPr>
        <w:t>S T A V E B N É    P O V O L E N I E</w:t>
      </w:r>
    </w:p>
    <w:p>
      <w:pPr>
        <w:pStyle w:val="Obyajntext"/>
        <w:jc w:val="both"/>
        <w:rPr/>
      </w:pPr>
      <w:r>
        <w:rPr/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</w:t>
      </w:r>
      <w:r>
        <w:rPr>
          <w:rStyle w:val="Zkladntext"/>
          <w:rFonts w:eastAsia="MS Mincho;ＭＳ 明朝"/>
          <w:sz w:val="24"/>
        </w:rPr>
        <w:t xml:space="preserve">Obec </w:t>
      </w:r>
      <w:r>
        <w:rPr>
          <w:rStyle w:val="Zkladntext"/>
          <w:rFonts w:eastAsia="MS Mincho;ＭＳ 明朝"/>
          <w:sz w:val="24"/>
        </w:rPr>
        <w:t>Vyšný Hrušov</w:t>
      </w:r>
      <w:r>
        <w:rPr>
          <w:rStyle w:val="Zkladntext"/>
          <w:rFonts w:eastAsia="MS Mincho;ＭＳ 明朝"/>
          <w:sz w:val="24"/>
        </w:rPr>
        <w:t xml:space="preserve">, ako príslušný správny orgán  a  stavebný  úrad  podľa  §  ll7  ods.  1) zák.č.5O/l976 Zb.o územnom plánovaní a stavebnom poriadku / stavebný zákon / v znení neskorších predpisov, §  2 písm. e) zák.č. 416/2001  Zb. o prechode niektorých  pôsobností z  orgánov štátnej  správy na  obce a vyššie územné  celky a  § 13  ods.  5)  zákona č.  369/1990 Zb.  o obecnom zriadení,   v  znení   neskorších  predpisov,   prerokoval  žiadosť stavebníka </w:t>
      </w:r>
      <w:r>
        <w:rPr>
          <w:rStyle w:val="Zkladntext"/>
          <w:rFonts w:eastAsia="Courier New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4"/>
          <w:szCs w:val="24"/>
          <w:u w:val="none"/>
          <w:lang w:val="sk-SK" w:eastAsia="zh-CN" w:bidi="hi-IN"/>
        </w:rPr>
        <w:t xml:space="preserve">Erik Blaško, Vyšný Hrušov 34, 067 35 Vyšný Hrušov </w:t>
      </w:r>
      <w:r>
        <w:rPr>
          <w:rStyle w:val="Zkladntext"/>
          <w:rFonts w:eastAsia="MS Mincho;ＭＳ 明朝"/>
          <w:sz w:val="24"/>
        </w:rPr>
        <w:t>o stavebné povolenie na stavbu:“</w:t>
      </w:r>
      <w:r>
        <w:rPr>
          <w:rStyle w:val="Zkladntext"/>
          <w:rFonts w:eastAsia="MS Mincho;ＭＳ 明朝" w:cs="Times New Roman" w:ascii="Times New Roman" w:hAnsi="Times New Roman"/>
          <w:b/>
          <w:bCs/>
          <w:color w:val="000000"/>
          <w:kern w:val="2"/>
          <w:sz w:val="24"/>
          <w:szCs w:val="24"/>
          <w:shd w:fill="FFFFFF" w:val="clear"/>
          <w:lang w:val="sk-SK" w:eastAsia="zh-CN" w:bidi="hi-IN"/>
        </w:rPr>
        <w:t>Garáž</w:t>
      </w:r>
      <w:r>
        <w:rPr>
          <w:rStyle w:val="Zkladntext"/>
          <w:rFonts w:eastAsia="MS Mincho;ＭＳ 明朝" w:cs="Times New Roman" w:ascii="Times New Roman" w:hAnsi="Times New Roman"/>
          <w:b/>
          <w:bCs/>
          <w:sz w:val="24"/>
          <w:szCs w:val="24"/>
        </w:rPr>
        <w:t xml:space="preserve">“ </w:t>
      </w:r>
      <w:r>
        <w:rPr>
          <w:rStyle w:val="Zkladntext"/>
          <w:rFonts w:eastAsia="MS Mincho;ＭＳ 明朝" w:cs="Times New Roman" w:ascii="Times New Roman" w:hAnsi="Times New Roman"/>
          <w:sz w:val="24"/>
          <w:szCs w:val="24"/>
        </w:rPr>
        <w:t xml:space="preserve"> na pozemkoch KNC parcelné číslo </w:t>
      </w:r>
      <w:r>
        <w:rPr>
          <w:rStyle w:val="Zkladntext"/>
          <w:rFonts w:eastAsia="MS Mincho;ＭＳ 明朝" w:cs="Times New Roman" w:ascii="Times New Roman" w:hAnsi="Times New Roman"/>
          <w:color w:val="00000A"/>
          <w:kern w:val="2"/>
          <w:sz w:val="24"/>
          <w:szCs w:val="24"/>
          <w:lang w:val="sk-SK" w:eastAsia="zh-CN" w:bidi="hi-IN"/>
        </w:rPr>
        <w:t>152/2, 156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color w:val="00000A"/>
          <w:kern w:val="2"/>
          <w:sz w:val="24"/>
          <w:szCs w:val="24"/>
          <w:lang w:val="sk-SK" w:eastAsia="zh-CN" w:bidi="hi-IN"/>
        </w:rPr>
        <w:t xml:space="preserve"> </w:t>
      </w:r>
      <w:r>
        <w:rPr>
          <w:rStyle w:val="Zkladntext"/>
          <w:rFonts w:eastAsia="MS Mincho;ＭＳ 明朝" w:cs="Times New Roman" w:ascii="Times New Roman" w:hAnsi="Times New Roman"/>
          <w:sz w:val="24"/>
          <w:szCs w:val="24"/>
        </w:rPr>
        <w:t xml:space="preserve">v katastrálnom území 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A"/>
          <w:kern w:val="2"/>
          <w:sz w:val="24"/>
          <w:szCs w:val="24"/>
          <w:u w:val="none"/>
          <w:lang w:val="sk-SK" w:eastAsia="zh-CN" w:bidi="hi-IN"/>
        </w:rPr>
        <w:t>Vyšný Hrušov</w:t>
      </w:r>
      <w:r>
        <w:rPr>
          <w:rStyle w:val="Zkladntext"/>
          <w:rFonts w:eastAsia="MS Mincho;ＭＳ 明朝"/>
          <w:sz w:val="24"/>
        </w:rPr>
        <w:t xml:space="preserve"> s dotknutými  orgánmi štátnej  správy a so známymi účastníkmi konania.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</w:t>
      </w:r>
      <w:r>
        <w:rPr>
          <w:rStyle w:val="Zkladntext"/>
          <w:rFonts w:eastAsia="MS Mincho;ＭＳ 明朝"/>
          <w:sz w:val="24"/>
        </w:rPr>
        <w:t>Po preskúmaní žiadosti podľa § 36, 62 zákona číslo 5O/l976 Zb. o územnom  plánovaní a stavebnom poriadku /  stavebný zákon / v platnom znení a na základe  § 66 stavebného  zákona stavebný úrad rozhodol takto:</w:t>
      </w:r>
    </w:p>
    <w:p>
      <w:pPr>
        <w:pStyle w:val="Obyajntext"/>
        <w:jc w:val="center"/>
        <w:rPr/>
      </w:pPr>
      <w:r>
        <w:rPr>
          <w:rStyle w:val="Zkladntext"/>
          <w:rFonts w:eastAsia="MS Mincho;ＭＳ 明朝"/>
          <w:b/>
          <w:bCs/>
          <w:sz w:val="24"/>
        </w:rPr>
        <w:t>p o v o ľ u j e</w:t>
      </w:r>
    </w:p>
    <w:p>
      <w:pPr>
        <w:pStyle w:val="Obyajntext"/>
        <w:jc w:val="both"/>
        <w:rPr/>
      </w:pPr>
      <w:r>
        <w:rPr/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b/>
          <w:bCs/>
          <w:sz w:val="24"/>
        </w:rPr>
        <w:t xml:space="preserve">pre stavebníka </w:t>
      </w:r>
      <w:r>
        <w:rPr>
          <w:rStyle w:val="Zkladntext"/>
          <w:rFonts w:eastAsia="Courier New" w:cs="Times New Roman" w:ascii="Times New Roman" w:hAnsi="Times New Roman"/>
          <w:b/>
          <w:bCs/>
          <w:strike w:val="false"/>
          <w:dstrike w:val="false"/>
          <w:color w:val="000000"/>
          <w:kern w:val="2"/>
          <w:sz w:val="24"/>
          <w:szCs w:val="24"/>
          <w:u w:val="none"/>
          <w:lang w:val="sk-SK" w:eastAsia="zh-CN" w:bidi="hi-IN"/>
        </w:rPr>
        <w:t>Erik Blaško, Vyšný Hrušov 34, 067 35 Vyšný Hrušov</w:t>
      </w:r>
      <w:r>
        <w:rPr>
          <w:rStyle w:val="Zkladntext"/>
          <w:rFonts w:eastAsia="MS Mincho;ＭＳ 明朝"/>
          <w:b/>
          <w:bCs/>
          <w:sz w:val="24"/>
        </w:rPr>
        <w:t xml:space="preserve"> stavbu:"</w:t>
      </w:r>
      <w:r>
        <w:rPr>
          <w:rStyle w:val="Zkladntext"/>
          <w:rFonts w:eastAsia="MS Mincho;ＭＳ 明朝" w:cs="Times New Roman" w:ascii="Times New Roman" w:hAnsi="Times New Roman"/>
          <w:b/>
          <w:bCs/>
          <w:color w:val="000000"/>
          <w:kern w:val="2"/>
          <w:sz w:val="24"/>
          <w:szCs w:val="24"/>
          <w:shd w:fill="FFFFFF" w:val="clear"/>
          <w:lang w:val="sk-SK" w:eastAsia="zh-CN" w:bidi="hi-IN"/>
        </w:rPr>
        <w:t>Garáž</w:t>
      </w:r>
      <w:r>
        <w:rPr>
          <w:rStyle w:val="Zkladntext"/>
          <w:rFonts w:eastAsia="MS Mincho;ＭＳ 明朝" w:cs="Times New Roman" w:ascii="Times New Roman" w:hAnsi="Times New Roman"/>
          <w:b/>
          <w:bCs/>
          <w:sz w:val="24"/>
          <w:szCs w:val="24"/>
        </w:rPr>
        <w:t xml:space="preserve">“  na pozemkoch KNC parcelné číslo </w:t>
      </w:r>
      <w:r>
        <w:rPr>
          <w:rStyle w:val="Zkladntext"/>
          <w:rFonts w:eastAsia="MS Mincho;ＭＳ 明朝" w:cs="Times New Roman" w:ascii="Times New Roman" w:hAnsi="Times New Roman"/>
          <w:b/>
          <w:bCs/>
          <w:color w:val="00000A"/>
          <w:kern w:val="2"/>
          <w:sz w:val="24"/>
          <w:szCs w:val="24"/>
          <w:lang w:val="sk-SK" w:eastAsia="zh-CN" w:bidi="hi-IN"/>
        </w:rPr>
        <w:t>152/2, 156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color w:val="00000A"/>
          <w:kern w:val="2"/>
          <w:sz w:val="24"/>
          <w:szCs w:val="24"/>
          <w:lang w:val="sk-SK" w:eastAsia="zh-CN" w:bidi="hi-IN"/>
        </w:rPr>
        <w:t xml:space="preserve"> </w:t>
      </w:r>
      <w:r>
        <w:rPr>
          <w:rStyle w:val="Zkladntext"/>
          <w:rFonts w:eastAsia="MS Mincho;ＭＳ 明朝" w:cs="Times New Roman" w:ascii="Times New Roman" w:hAnsi="Times New Roman"/>
          <w:b/>
          <w:bCs/>
          <w:sz w:val="24"/>
          <w:szCs w:val="24"/>
        </w:rPr>
        <w:t xml:space="preserve">v katastrálnom území </w:t>
      </w:r>
      <w:r>
        <w:rPr>
          <w:rStyle w:val="Zkladntext"/>
          <w:rFonts w:eastAsia="MS Mincho;ＭＳ 明朝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A"/>
          <w:kern w:val="2"/>
          <w:sz w:val="24"/>
          <w:szCs w:val="24"/>
          <w:u w:val="none"/>
          <w:lang w:val="sk-SK" w:eastAsia="zh-CN" w:bidi="hi-IN"/>
        </w:rPr>
        <w:t>Vyšný Hrušov</w:t>
      </w:r>
      <w:r>
        <w:rPr>
          <w:rStyle w:val="Zkladntext"/>
          <w:rFonts w:eastAsia="MS Mincho;ＭＳ 明朝" w:cs="Times New Roman" w:ascii="Times New Roman" w:hAnsi="Times New Roman"/>
          <w:b/>
          <w:bCs/>
          <w:sz w:val="24"/>
        </w:rPr>
        <w:t>.</w:t>
      </w:r>
    </w:p>
    <w:p>
      <w:pPr>
        <w:pStyle w:val="Obyajntext"/>
        <w:jc w:val="both"/>
        <w:rPr/>
      </w:pPr>
      <w:r>
        <w:rPr/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Pre umiestnenie a uskutočnenie stavby sa stanovujú tieto podmienky: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01.Stavba bude  umiestnená na  pozemku  podľa  zakreslenia na situácii PD, ktorý je    neoddeliteľnou súčasťou spisového materiálu.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 xml:space="preserve">02.Stavba  sa  uskutoční podľa predloženého projektu vypracovaného 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sz w:val="24"/>
          <w:szCs w:val="24"/>
        </w:rPr>
        <w:t>Ing.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sz w:val="24"/>
          <w:szCs w:val="24"/>
        </w:rPr>
        <w:t>arch.Roháč</w:t>
      </w:r>
      <w:r>
        <w:rPr>
          <w:rStyle w:val="Zkladntext"/>
          <w:rFonts w:eastAsia="MS Mincho;ＭＳ 明朝"/>
          <w:sz w:val="24"/>
        </w:rPr>
        <w:t xml:space="preserve"> overeného v  stavebnom konaní,   ktoré je  súčasťou tohto rozhodnutia bez zmien.  Prípadné ďalšie zmeny  sa    nesmú  uskutočniť  bez   predchádzajúceho  povolenia  stavebného  úradu.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03.Stavba  pozostáva z:</w:t>
      </w:r>
      <w:r>
        <w:rPr>
          <w:rStyle w:val="Zkladntext"/>
          <w:rFonts w:eastAsia="MS Mincho;ＭＳ 明朝"/>
          <w:sz w:val="24"/>
        </w:rPr>
        <w:t xml:space="preserve">objekt 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sz w:val="24"/>
          <w:szCs w:val="24"/>
        </w:rPr>
        <w:t>o rozmeroch 18,35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sz w:val="24"/>
          <w:szCs w:val="24"/>
          <w:u w:val="none"/>
          <w:shd w:fill="FFFFFF" w:val="clear"/>
        </w:rPr>
        <w:t xml:space="preserve">m x 9,35m; osadený 1,0m od KNC 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>148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sz w:val="24"/>
          <w:szCs w:val="24"/>
          <w:u w:val="none"/>
          <w:shd w:fill="FFFFFF" w:val="clear"/>
        </w:rPr>
        <w:t xml:space="preserve">, a 1,0m od KNC 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>152/1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sz w:val="24"/>
          <w:szCs w:val="24"/>
          <w:u w:val="none"/>
          <w:shd w:fill="FFFFFF" w:val="clear"/>
        </w:rPr>
        <w:t>; s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 xml:space="preserve">edlová strecha o výške hrebeňa +5,74m. 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04.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 xml:space="preserve">Prístup na pozemok k stavbe je z existujúcej komunikácie 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>parc.č KNC 494</w:t>
      </w:r>
      <w:r>
        <w:rPr>
          <w:rStyle w:val="Zkladntext"/>
          <w:rFonts w:eastAsia="MS Mincho;ＭＳ 明朝" w:cs="Times New Roman" w:ascii="Times New Roman" w:hAnsi="Times New Roman"/>
          <w:b w:val="false"/>
          <w:bCs w:val="false"/>
          <w:sz w:val="24"/>
        </w:rPr>
        <w:t>.</w:t>
      </w:r>
      <w:r>
        <w:rPr>
          <w:rStyle w:val="Zkladntext"/>
          <w:rFonts w:eastAsia="MS Mincho;ＭＳ 明朝" w:cs="Times New Roman" w:ascii="Times New Roman" w:hAnsi="Times New Roman"/>
          <w:b/>
          <w:bCs/>
          <w:sz w:val="24"/>
        </w:rPr>
        <w:t xml:space="preserve"> </w:t>
      </w:r>
      <w:r>
        <w:rPr>
          <w:rStyle w:val="Zkladntext"/>
          <w:rFonts w:eastAsia="MS Mincho;ＭＳ 明朝"/>
          <w:sz w:val="24"/>
        </w:rPr>
        <w:t xml:space="preserve">  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05.Osadenie  stavby  musí  byť zo  strany  stavebníka  dodržané.   Za vytýčenie  priestorovej polohy stavby v  súlade s projektom    zodpovedá stavebník a stavebný dozor.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06.Stavebné  práce  môže  vykonávať  iba  fyzická  osoba,  ktorá má požadovanú odbornú kvalifikáciu a zdravotnú spôsobilosť.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07.Pri uskutočňovaní stavby musia byť dodržané predpisy týkajúce sa bezpečnosti práce a hygienické predpisy, najmä dbať o ochranu    zdravia osôb na stavenisku.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08.Pri  stavbe  budú  dodržané  všeobecné  technické  požiadavky a uskutočňovanie  stavieb a  príslušné technické  normy, všeobecne   zaužívané pracovné postupy a návody výrobcu stavebných výrobkov.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09.Na uskutočnenie stavby možno  použiť iba stavebný výrobok, ktorý je podľa osobitných  predpisov vhodný  na použitie  v stavbe na zamýšľaný účel.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 xml:space="preserve">10.Napojenie  stavby na  inžinierske siete: existujúce. Dažďové  vody  zo  strechy   budú  zvedené  na  vlastný  pozemok stavebníka tak, aby neboli ohrozené susedné nehnuteľnosti. 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11.Stavba musí byť úplne dokončená do 0</w:t>
      </w:r>
      <w:r>
        <w:rPr>
          <w:rStyle w:val="Zkladntext"/>
          <w:rFonts w:eastAsia="MS Mincho;ＭＳ 明朝"/>
          <w:sz w:val="24"/>
        </w:rPr>
        <w:t>6</w:t>
      </w:r>
      <w:r>
        <w:rPr>
          <w:rStyle w:val="Zkladntext"/>
          <w:rFonts w:eastAsia="MS Mincho;ＭＳ 明朝"/>
          <w:sz w:val="24"/>
        </w:rPr>
        <w:t>/202</w:t>
      </w:r>
      <w:r>
        <w:rPr>
          <w:rStyle w:val="Zkladntext"/>
          <w:rFonts w:eastAsia="MS Mincho;ＭＳ 明朝"/>
          <w:sz w:val="24"/>
        </w:rPr>
        <w:t>8</w:t>
      </w:r>
      <w:r>
        <w:rPr>
          <w:rStyle w:val="Zkladntext"/>
          <w:rFonts w:eastAsia="MS Mincho;ＭＳ 明朝"/>
          <w:sz w:val="24"/>
        </w:rPr>
        <w:t>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12.Stavebník  pri začatí  stavby musí  ju označiť  štítkom " stavba  povolená ...,  rozhodnutím č... dňa...,  stavebník ..., stavebný dozor ..., termín  začatia ...,  termín  ukončenia  ... "   na viditeľnom mieste.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</w:t>
      </w:r>
      <w:r>
        <w:rPr>
          <w:rStyle w:val="Zkladntext"/>
          <w:rFonts w:eastAsia="MS Mincho;ＭＳ 明朝"/>
          <w:sz w:val="24"/>
        </w:rPr>
        <w:t>Stavebník je povinný oznámiť stavebnému úradu začatie stavby.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 xml:space="preserve">13.Stavba sa bude realizovať </w:t>
      </w:r>
      <w:r>
        <w:rPr>
          <w:rStyle w:val="Zkladntext"/>
          <w:rFonts w:eastAsia="MS Mincho;ＭＳ 明朝"/>
          <w:sz w:val="24"/>
        </w:rPr>
        <w:t>dodávateľsky</w:t>
      </w:r>
      <w:r>
        <w:rPr>
          <w:rStyle w:val="Zkladntext"/>
          <w:rFonts w:eastAsia="MS Mincho;ＭＳ 明朝"/>
          <w:sz w:val="24"/>
        </w:rPr>
        <w:t>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14.Za vedenie, vykonávanie stavby zodpovedá stavebník a </w:t>
      </w:r>
      <w:r>
        <w:rPr>
          <w:rStyle w:val="Zkladntext"/>
          <w:rFonts w:eastAsia="MS Mincho;ＭＳ 明朝"/>
          <w:sz w:val="24"/>
        </w:rPr>
        <w:t>dodávateľ</w:t>
      </w:r>
      <w:r>
        <w:rPr>
          <w:rStyle w:val="Zkladntext"/>
          <w:rFonts w:eastAsia="MS Mincho;ＭＳ 明朝"/>
          <w:sz w:val="24"/>
        </w:rPr>
        <w:t>, vykonáva činnosť tak, aby bola zabezpečená riadna inštalácia a prevádzka technického  vybavenia na stavbe, odborné    ukladanie  stavebných  výrobkov a hmôt,  vhodnosť  ich  použitia, odborné   ukladanie   strojov   a   zariadení,  sleduje  vedenie stavebného  denníka  a  vplýva  na  odstránenie  závad, ktoré na  stavbe zistil. Spoluzodpovedá za dodržanie podmienok stavebného povolenia.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15.Stavebník resp. dodávateľ  je  povinný  počas  realizácie  stavby viesť  stavebný denník, do ktorého  sa  zapisujú  všetky   dôležité  údaje  o stavebných  prácach, o vykonávaní štátneho  stavebného dohľadu,   štátneho dozoru, stavebného dozoru, dozoru projektanta a pod.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Stavebný denník vedie stavebník resp. dodávateľ od prvého  dňa prípravných prác    až do skončenia stavebných prác a je možné ho nahradiť  záznamom    min. 1 x za 7 dní.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16.Rozhodnutie o  námietkach  účastníkov  konania  - bez námietok.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18.Stavebné povolenie stráca platnosť, ak do dvoch rokov odo dňa, keď nadobudlo právnu moc, sa so stavbou nezačne. Stavebník môže začať realizovať stavebné práce až po nadobudnutí právoplatnosti tohto rozhodnutia.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 xml:space="preserve">17.Prístup na stavebný pozemok je určený z miestnej komunikácie. Pri realizácii stavby stavebník je povinný na vlastné náklady vykonať opatrenia smerujúce k predchádzaniu a obmedzovaniu poškodzovania alebo ničenia ekosystémov. 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 xml:space="preserve">19.Stavebník je povinný umožňovať orgánom štátneho stavebného dohľadu a nimi prizvaným znalcom vstupovať na stavenisko a do stavby, nazerať do jej dokumentácie a vytvárať podmienky pre výkon štátneho stavebného dohľadu, ako aj ohlásiť stavebnému úradu prípadné závady na stavbe, ktoré by ohrozovali život osôb, resp. ich zdravie( § 100  písm.a,b stavebného zákona).   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20.</w:t>
      </w:r>
      <w:r>
        <w:rPr>
          <w:rStyle w:val="Zkladntext"/>
          <w:sz w:val="24"/>
        </w:rPr>
        <w:t xml:space="preserve"> Dodávateľ stavby ako držiteľ odpadov z demolačných a stavebných  prác je povinný dodržiavať zákon o odpadoch, s poukázaním najmä na §14 zákona o odpadoch a nemôže sa zbaviť povinnosti na zhodnotenie alebo zneškodnenie odpadov. Držiteľ odpadov z demolačných prác a stavebných prác je povinný odovzdať ich na zhodnotenie alebo zneškodnenie iba osobe oprávnenej nakladať s  odpadmi podľa zákona o odpadoch (povolená skládka odpadov, zariadenie na zhodnotenie odpadov resp. zneškodnenie odpadov).</w:t>
      </w:r>
    </w:p>
    <w:p>
      <w:pPr>
        <w:pStyle w:val="Obyajntext"/>
        <w:jc w:val="both"/>
        <w:rPr/>
      </w:pPr>
      <w:r>
        <w:rPr>
          <w:rStyle w:val="Zkladntext"/>
          <w:sz w:val="24"/>
        </w:rPr>
        <w:t>Držiteľ odpadov uchová doklady preukázujúce spôsob nakladania s odpadmi z uvedenej stavby. V prípade vykonávania stavebných prác poddodávateľmi žiadame tieto podmienky uvádzať v príslušných zmluvách, na základe ktorých poddodávatelia budú  demolačné a stavebné  práce vykonávať.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 xml:space="preserve">21.Stavebník  je  povinný po skončení  stavby požiadať príslušný    stavebný úrad  o  vydanie kolaudačného rozhodnutia.  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</w:t>
      </w:r>
      <w:r>
        <w:rPr>
          <w:rStyle w:val="Zkladntext"/>
          <w:rFonts w:eastAsia="MS Mincho;ＭＳ 明朝"/>
          <w:sz w:val="24"/>
        </w:rPr>
        <w:t>Ku  kolaudácii  stavby  predloží  doklady  o vhodnosti výrobkov použitých  na stavbe  / murivo,  dlažby, cement,  železo, betón,   strešná  krytina,  izolačný   materiál,  omietky,  okná,  dvere,   a pod./  stavebný denník k nahliadnutiu.</w:t>
      </w:r>
    </w:p>
    <w:p>
      <w:pPr>
        <w:pStyle w:val="Obyajntext"/>
        <w:jc w:val="both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jc w:val="both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jc w:val="both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jc w:val="center"/>
        <w:rPr/>
      </w:pPr>
      <w:r>
        <w:rPr>
          <w:rStyle w:val="Zkladntext"/>
          <w:rFonts w:eastAsia="MS Mincho;ＭＳ 明朝"/>
          <w:sz w:val="24"/>
        </w:rPr>
        <w:t>O d ô v o d n e n i e</w:t>
      </w:r>
    </w:p>
    <w:p>
      <w:pPr>
        <w:pStyle w:val="Obyajntext"/>
        <w:jc w:val="center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</w:t>
      </w:r>
      <w:r>
        <w:rPr>
          <w:rStyle w:val="Zkladntext"/>
          <w:rFonts w:eastAsia="MS Mincho;ＭＳ 明朝"/>
          <w:sz w:val="24"/>
        </w:rPr>
        <w:t>Stavebný úrad v stavebnom  konaní preskúmal predloženú žiadosť z hľadísk uvedených v ustanoveniach § 62 stavebného zákona.  Stavebný úrad v stavebnom konaní preskúmal predloženú žiadosť z hľadísk uvedených v ustanoveniach §§ 36,62,63 stavebného zákona a zistil, že uskutočnením stavby nie  sú obmedzené  alebo ohrozené práva  a  oprávnené  záujmy  účastníkov.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  </w:t>
      </w:r>
      <w:r>
        <w:rPr>
          <w:rStyle w:val="Zkladntext"/>
          <w:rFonts w:eastAsia="MS Mincho;ＭＳ 明朝"/>
          <w:sz w:val="24"/>
        </w:rPr>
        <w:t xml:space="preserve">Dokumentácia stavby je spracovaná podľa príslušných ustanovení stavebného  zákona  -  §  47  Všeobecné  technické  požiadavky  na navrhovanie  stavieb  a  §  9  vyhl.  č.  453/2000  Z.z., ktorou sa vykonávajú  niektoré  ustanovenia   stavebného  zákona. 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 </w:t>
      </w:r>
      <w:r>
        <w:rPr>
          <w:rStyle w:val="Zkladntext"/>
          <w:rFonts w:eastAsia="MS Mincho;ＭＳ 明朝"/>
          <w:sz w:val="24"/>
        </w:rPr>
        <w:t>Stavebný  úrad v  priebehu konania  nezistil dôvody,  ktoré by bránili povoleniu stavby, preto stavbu povolil.  Stavba nevyžaduje výrub drevín.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Stavebné povolenie stratí platnosť, ak do dvoch rokov odo dňa, keď nadobudlo právoplatnosť, nebude stavba začatá.</w:t>
      </w:r>
    </w:p>
    <w:p>
      <w:pPr>
        <w:pStyle w:val="Obyajntext"/>
        <w:jc w:val="both"/>
        <w:rPr/>
      </w:pPr>
      <w:r>
        <w:rPr>
          <w:rStyle w:val="Zkladntext"/>
          <w:rFonts w:eastAsia="MS Mincho;ＭＳ 明朝"/>
          <w:sz w:val="24"/>
        </w:rPr>
        <w:t>Stavba  nesmie byť začatá, pokiaľ stavebné povolenie nenadobudne právoplatnosť   ( § 52 zákona č.71/1967 Zb. )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 </w:t>
      </w:r>
      <w:r>
        <w:rPr>
          <w:rStyle w:val="Zkladntext"/>
          <w:rFonts w:eastAsia="MS Mincho;ＭＳ 明朝"/>
          <w:sz w:val="24"/>
        </w:rPr>
        <w:t>Účastníci konania si neuplatnili žiadne námietky.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    </w:t>
      </w:r>
      <w:r>
        <w:rPr>
          <w:rStyle w:val="Zkladntext"/>
          <w:rFonts w:eastAsia="MS Mincho;ＭＳ 明朝"/>
          <w:sz w:val="24"/>
        </w:rPr>
        <w:t>Dokumentácia stavby je spracovaná podľa príslušných stanovení stavebného  zákona  -  §   47  Všeobecné  technické  požiadavky  na navrhovanie stavieb a vyhl. č.  453/2000 Z.z., ktorou sa vykonávajú niektoré ustanovenia stavebného zákona.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</w:t>
      </w:r>
      <w:r>
        <w:rPr>
          <w:rStyle w:val="Zkladntext"/>
          <w:rFonts w:eastAsia="MS Mincho;ＭＳ 明朝"/>
          <w:sz w:val="24"/>
        </w:rPr>
        <w:t>Stavebný úrad  v priebehu konania  nezistil dôvody ,  ktoré  by bránili povoleniu stavby.</w:t>
      </w:r>
    </w:p>
    <w:p>
      <w:pPr>
        <w:pStyle w:val="Obyajntext"/>
        <w:jc w:val="both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jc w:val="center"/>
        <w:rPr/>
      </w:pPr>
      <w:r>
        <w:rPr>
          <w:rStyle w:val="Zkladntext"/>
          <w:rFonts w:eastAsia="MS Mincho;ＭＳ 明朝"/>
          <w:sz w:val="24"/>
        </w:rPr>
        <w:t>P o u č e n i e</w:t>
      </w:r>
    </w:p>
    <w:p>
      <w:pPr>
        <w:pStyle w:val="Obyajntext"/>
        <w:jc w:val="center"/>
        <w:rPr>
          <w:rFonts w:eastAsia="MS Mincho;ＭＳ 明朝"/>
        </w:rPr>
      </w:pPr>
      <w:r>
        <w:rPr>
          <w:rFonts w:eastAsia="MS Mincho;ＭＳ 明朝"/>
        </w:rPr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</w:t>
      </w:r>
      <w:r>
        <w:rPr>
          <w:rStyle w:val="Zkladntext"/>
          <w:rFonts w:eastAsia="MS Mincho;ＭＳ 明朝"/>
          <w:sz w:val="24"/>
        </w:rPr>
        <w:t xml:space="preserve">Proti tomuto  rozhodnutiu možno sa  odvolať do l5  dní odo dňa oznámenia. Odvolanie sa podáva na Obec  </w:t>
      </w:r>
      <w:r>
        <w:rPr>
          <w:rStyle w:val="Zkladntext"/>
          <w:rFonts w:eastAsia="MS Mincho;ＭＳ 明朝"/>
          <w:sz w:val="24"/>
        </w:rPr>
        <w:t>Vyšný Hrušov</w:t>
      </w:r>
      <w:r>
        <w:rPr>
          <w:rStyle w:val="Zkladntext"/>
          <w:rFonts w:eastAsia="MS Mincho;ＭＳ 明朝"/>
          <w:sz w:val="24"/>
        </w:rPr>
        <w:t>.</w:t>
      </w:r>
    </w:p>
    <w:p>
      <w:pPr>
        <w:pStyle w:val="Obyajntext"/>
        <w:jc w:val="both"/>
        <w:rPr/>
      </w:pPr>
      <w:r>
        <w:rPr>
          <w:rStyle w:val="Zkladntext"/>
          <w:rFonts w:eastAsia="Courier New"/>
          <w:sz w:val="24"/>
        </w:rPr>
        <w:t xml:space="preserve">     </w:t>
      </w:r>
      <w:r>
        <w:rPr>
          <w:rStyle w:val="Zkladntext"/>
          <w:rFonts w:eastAsia="MS Mincho;ＭＳ 明朝"/>
          <w:sz w:val="24"/>
        </w:rPr>
        <w:t>Toto rozhodnutie je  možno  preskúmať  súdom až  po vyčerpaní riadneho opravného prostriedku v správnom konaní.</w:t>
      </w:r>
    </w:p>
    <w:p>
      <w:pPr>
        <w:pStyle w:val="Normal"/>
        <w:jc w:val="both"/>
        <w:rPr/>
      </w:pPr>
      <w:r>
        <w:rPr>
          <w:rStyle w:val="Zkladntext"/>
          <w:rFonts w:eastAsia="Times New Roman"/>
          <w:sz w:val="24"/>
        </w:rPr>
        <w:t xml:space="preserve"> </w:t>
      </w:r>
    </w:p>
    <w:p>
      <w:pPr>
        <w:pStyle w:val="Obyajntext"/>
        <w:rPr/>
      </w:pPr>
      <w:r>
        <w:rPr>
          <w:rStyle w:val="Zkladntext"/>
          <w:rFonts w:eastAsia="Courier New"/>
          <w:sz w:val="24"/>
        </w:rPr>
        <w:t xml:space="preserve">                                                                                                             </w:t>
      </w:r>
      <w:r>
        <w:rPr>
          <w:rStyle w:val="Zkladntext"/>
          <w:rFonts w:eastAsia="Times New Roman" w:cs="Times New Roman" w:ascii="Times New Roman" w:hAnsi="Times New Roman"/>
          <w:b/>
          <w:bCs/>
          <w:sz w:val="24"/>
        </w:rPr>
        <w:t xml:space="preserve">   </w:t>
      </w:r>
    </w:p>
    <w:p>
      <w:pPr>
        <w:pStyle w:val="Obyajntext"/>
        <w:rPr/>
      </w:pPr>
      <w:r>
        <w:rPr>
          <w:rStyle w:val="Zkladntext"/>
          <w:rFonts w:eastAsia="Courier New"/>
          <w:sz w:val="24"/>
        </w:rPr>
        <w:t xml:space="preserve"> </w:t>
      </w:r>
    </w:p>
    <w:p>
      <w:pPr>
        <w:pStyle w:val="Normal"/>
        <w:spacing w:lineRule="auto" w:line="276"/>
        <w:jc w:val="both"/>
        <w:rPr/>
      </w:pPr>
      <w:r>
        <w:rPr>
          <w:rFonts w:eastAsia="Times New Roman" w:cs="Times New Roman"/>
          <w:b w:val="false"/>
          <w:bCs w:val="false"/>
          <w:color w:val="00000A"/>
          <w:kern w:val="2"/>
          <w:sz w:val="24"/>
          <w:szCs w:val="24"/>
          <w:u w:val="none"/>
          <w:lang w:val="sk-SK" w:eastAsia="zh-CN" w:bidi="hi-IN"/>
        </w:rPr>
        <w:t xml:space="preserve">                                                                                                  </w:t>
      </w:r>
      <w:r>
        <w:rPr>
          <w:rFonts w:eastAsia="Times New Roman" w:cs="Times New Roman"/>
          <w:b w:val="false"/>
          <w:bCs w:val="false"/>
          <w:color w:val="00000A"/>
          <w:kern w:val="2"/>
          <w:sz w:val="24"/>
          <w:szCs w:val="24"/>
          <w:u w:val="none"/>
          <w:lang w:val="sk-SK" w:eastAsia="zh-CN" w:bidi="hi-IN"/>
        </w:rPr>
        <w:t>Martin Dudiak</w:t>
      </w:r>
      <w:r>
        <w:rPr>
          <w:rFonts w:eastAsia="Times New Roman" w:cs="Times New Roman"/>
          <w:b w:val="false"/>
          <w:bCs w:val="false"/>
          <w:color w:val="00000A"/>
          <w:kern w:val="2"/>
          <w:sz w:val="24"/>
          <w:szCs w:val="24"/>
          <w:lang w:val="sk-SK" w:eastAsia="zh-CN" w:bidi="hi-IN"/>
        </w:rPr>
        <w:t xml:space="preserve"> </w:t>
      </w:r>
    </w:p>
    <w:p>
      <w:pPr>
        <w:pStyle w:val="Normal"/>
        <w:spacing w:lineRule="auto" w:line="276"/>
        <w:jc w:val="both"/>
        <w:rPr/>
      </w:pPr>
      <w:r>
        <w:rPr>
          <w:rFonts w:eastAsia="Times New Roman" w:cs="Times New Roman"/>
          <w:b w:val="false"/>
          <w:bCs w:val="false"/>
          <w:color w:val="00000A"/>
          <w:kern w:val="2"/>
          <w:sz w:val="24"/>
          <w:szCs w:val="24"/>
          <w:lang w:val="sk-SK" w:eastAsia="zh-CN" w:bidi="hi-IN"/>
        </w:rPr>
        <w:t xml:space="preserve">                                                                                                       </w:t>
      </w:r>
      <w:r>
        <w:rPr>
          <w:rFonts w:eastAsia="Times New Roman" w:cs="Times New Roman"/>
          <w:b w:val="false"/>
          <w:bCs w:val="false"/>
          <w:color w:val="00000A"/>
          <w:kern w:val="2"/>
          <w:sz w:val="24"/>
          <w:szCs w:val="24"/>
          <w:lang w:val="sk-SK" w:eastAsia="zh-CN" w:bidi="hi-IN"/>
        </w:rPr>
        <w:t>starosta obce</w:t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Obyajntext"/>
        <w:jc w:val="both"/>
        <w:rPr/>
      </w:pPr>
      <w:r>
        <w:rPr>
          <w:rStyle w:val="Zkladntext"/>
          <w:rFonts w:ascii="Times New Roman" w:hAnsi="Times New Roman"/>
          <w:sz w:val="24"/>
          <w:szCs w:val="24"/>
        </w:rPr>
        <w:t xml:space="preserve">Toto </w:t>
      </w:r>
      <w:r>
        <w:rPr>
          <w:rStyle w:val="Zkladntext"/>
          <w:rFonts w:ascii="Times New Roman" w:hAnsi="Times New Roman"/>
          <w:sz w:val="24"/>
          <w:szCs w:val="24"/>
        </w:rPr>
        <w:t>rozhodnutie</w:t>
      </w:r>
      <w:r>
        <w:rPr>
          <w:rStyle w:val="Zkladntext"/>
          <w:rFonts w:ascii="Times New Roman" w:hAnsi="Times New Roman"/>
          <w:sz w:val="24"/>
          <w:szCs w:val="24"/>
        </w:rPr>
        <w:t xml:space="preserve"> má povahu verejnej vyhlášky podľa ust. § 61 ods. 4) stavebného zákona a musí byť vyvesené po dobu 15 dní na verejne prístupnom mieste v meste spôsobom obvyklým. Posledný deň tejto lehoty je dňom doručenia. </w:t>
      </w:r>
    </w:p>
    <w:p>
      <w:pPr>
        <w:pStyle w:val="Obyaj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/>
      </w:pPr>
      <w:r>
        <w:rPr>
          <w:rStyle w:val="Zkladntext"/>
          <w:rFonts w:ascii="Times New Roman" w:hAnsi="Times New Roman"/>
          <w:sz w:val="24"/>
          <w:szCs w:val="24"/>
        </w:rPr>
        <w:t xml:space="preserve">Vyvesené dňa:                                                                                 Zvesené dňa:   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both"/>
        <w:rPr/>
      </w:pPr>
      <w:r>
        <w:rPr>
          <w:rStyle w:val="Zkladntext"/>
          <w:rFonts w:eastAsia="Times New Roman" w:ascii="Times New Roman" w:hAnsi="Times New Roman"/>
          <w:b w:val="false"/>
          <w:bCs w:val="false"/>
          <w:color w:val="00000A"/>
          <w:kern w:val="2"/>
          <w:sz w:val="24"/>
          <w:szCs w:val="24"/>
          <w:lang w:val="sk-SK" w:eastAsia="zh-CN" w:bidi="hi-IN"/>
        </w:rPr>
        <w:t>Pečiatka, podpis</w:t>
      </w:r>
    </w:p>
    <w:p>
      <w:pPr>
        <w:pStyle w:val="Normal"/>
        <w:spacing w:lineRule="auto" w:line="276"/>
        <w:jc w:val="both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Times New Roman" w:hAnsi="Times New Roman"/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Obyajntext"/>
        <w:jc w:val="both"/>
        <w:rPr>
          <w:rStyle w:val="Zkladntext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Times New Roman" w:hAnsi="Times New Roman"/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rPr/>
      </w:pPr>
      <w:r>
        <w:rPr/>
        <w:t xml:space="preserve"> </w:t>
      </w:r>
      <w:r>
        <w:rPr/>
        <w:t xml:space="preserve">Doručí sa: </w:t>
      </w:r>
    </w:p>
    <w:p>
      <w:pPr>
        <w:pStyle w:val="Obyajntext"/>
        <w:numPr>
          <w:ilvl w:val="0"/>
          <w:numId w:val="1"/>
        </w:numPr>
        <w:ind w:left="720" w:right="0" w:hanging="360"/>
        <w:rPr/>
      </w:pPr>
      <w:r>
        <w:rPr>
          <w:rFonts w:eastAsia="Courier New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4"/>
          <w:szCs w:val="24"/>
          <w:u w:val="none"/>
          <w:lang w:val="sk-SK" w:eastAsia="zh-CN" w:bidi="hi-IN"/>
        </w:rPr>
        <w:t>Erik Blaško, Vyšný Hrušov 34, 067 35 Vyšný Hrušov</w:t>
      </w:r>
    </w:p>
    <w:p>
      <w:pPr>
        <w:pStyle w:val="Obyajntext"/>
        <w:numPr>
          <w:ilvl w:val="0"/>
          <w:numId w:val="1"/>
        </w:numPr>
        <w:ind w:left="720" w:right="0" w:hanging="360"/>
        <w:rPr/>
      </w:pPr>
      <w:r>
        <w:rPr>
          <w:rFonts w:eastAsia="Courier New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4"/>
          <w:szCs w:val="24"/>
          <w:u w:val="none"/>
          <w:lang w:val="sk-SK" w:eastAsia="zh-CN" w:bidi="hi-IN"/>
        </w:rPr>
        <w:t>ROHARCH s.r.o., Orechová 2463/69, 066 01 Humenné</w:t>
      </w:r>
    </w:p>
    <w:p>
      <w:pPr>
        <w:pStyle w:val="Obyajntext"/>
        <w:numPr>
          <w:ilvl w:val="0"/>
          <w:numId w:val="1"/>
        </w:numPr>
        <w:ind w:left="720" w:right="0" w:hanging="360"/>
        <w:rPr/>
      </w:pPr>
      <w:r>
        <w:rPr>
          <w:rFonts w:eastAsia="MS Mincho;ＭＳ 明朝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>Prestav-Dom s.r.o., Lipová 1, 066 01 Humenné</w:t>
      </w:r>
    </w:p>
    <w:p>
      <w:pPr>
        <w:pStyle w:val="Obyajntext"/>
        <w:numPr>
          <w:ilvl w:val="0"/>
          <w:numId w:val="1"/>
        </w:numPr>
        <w:ind w:left="720" w:right="0" w:hanging="360"/>
        <w:rPr/>
      </w:pPr>
      <w:r>
        <w:rPr>
          <w:rFonts w:eastAsia="MS Mincho;ＭＳ 明朝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>Štefan Kora, Adidovce 44, 067 32 Vyšný Hrušov</w:t>
      </w:r>
    </w:p>
    <w:p>
      <w:pPr>
        <w:pStyle w:val="Obyajntext"/>
        <w:numPr>
          <w:ilvl w:val="0"/>
          <w:numId w:val="1"/>
        </w:numPr>
        <w:ind w:left="720" w:right="0" w:hanging="360"/>
        <w:rPr/>
      </w:pPr>
      <w:r>
        <w:rPr>
          <w:rFonts w:eastAsia="MS Mincho;ＭＳ 明朝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>Anna Korová, Adidovce 44, 067 32 Vyšný Hrušov</w:t>
      </w:r>
    </w:p>
    <w:p>
      <w:pPr>
        <w:pStyle w:val="Obyajntext"/>
        <w:numPr>
          <w:ilvl w:val="0"/>
          <w:numId w:val="1"/>
        </w:numPr>
        <w:ind w:left="720" w:right="0" w:hanging="360"/>
        <w:rPr/>
      </w:pPr>
      <w:r>
        <w:rPr>
          <w:rFonts w:eastAsia="MS Mincho;ＭＳ 明朝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>Michal Jevič, Vyšný Hrušov 30, 067 32 Vyšný Hrušov</w:t>
      </w:r>
    </w:p>
    <w:p>
      <w:pPr>
        <w:pStyle w:val="Obyajntext"/>
        <w:numPr>
          <w:ilvl w:val="0"/>
          <w:numId w:val="1"/>
        </w:numPr>
        <w:ind w:left="720" w:right="0" w:hanging="360"/>
        <w:jc w:val="both"/>
        <w:rPr>
          <w:rFonts w:ascii="Times New Roman" w:hAnsi="Times New Roman" w:eastAsia="MS Mincho;ＭＳ 明朝" w:cs="Times New Roman"/>
          <w:sz w:val="24"/>
        </w:rPr>
      </w:pPr>
      <w:r>
        <w:rPr>
          <w:rFonts w:eastAsia="MS Mincho;ＭＳ 明朝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sk-SK" w:eastAsia="zh-CN" w:bidi="hi-IN"/>
        </w:rPr>
        <w:t>Viera Jevičová, Vyšný Hrušov 30, 067 32 Vyšný Hrušov</w:t>
      </w:r>
    </w:p>
    <w:p>
      <w:pPr>
        <w:pStyle w:val="Obyajntext"/>
        <w:jc w:val="both"/>
        <w:rPr>
          <w:rFonts w:ascii="Times New Roman" w:hAnsi="Times New Roman" w:eastAsia="MS Mincho;ＭＳ 明朝" w:cs="Times New Roman"/>
          <w:sz w:val="24"/>
        </w:rPr>
      </w:pPr>
      <w:r>
        <w:rPr>
          <w:rFonts w:eastAsia="MS Mincho;ＭＳ 明朝" w:cs="Times New Roman" w:ascii="Times New Roman" w:hAnsi="Times New Roman"/>
          <w:sz w:val="24"/>
        </w:rPr>
      </w:r>
    </w:p>
    <w:p>
      <w:pPr>
        <w:pStyle w:val="Obyajntext"/>
        <w:jc w:val="both"/>
        <w:rPr>
          <w:rFonts w:ascii="Times New Roman" w:hAnsi="Times New Roman" w:eastAsia="MS Mincho;ＭＳ 明朝" w:cs="Times New Roman"/>
          <w:sz w:val="24"/>
        </w:rPr>
      </w:pPr>
      <w:r>
        <w:rPr>
          <w:rFonts w:eastAsia="MS Mincho;ＭＳ 明朝" w:cs="Times New Roman" w:ascii="Times New Roman" w:hAnsi="Times New Roman"/>
          <w:sz w:val="24"/>
        </w:rPr>
      </w:r>
    </w:p>
    <w:p>
      <w:pPr>
        <w:pStyle w:val="Obyajntext"/>
        <w:jc w:val="both"/>
        <w:rPr>
          <w:rFonts w:ascii="Times New Roman" w:hAnsi="Times New Roman" w:eastAsia="MS Mincho;ＭＳ 明朝" w:cs="Times New Roman"/>
          <w:sz w:val="24"/>
        </w:rPr>
      </w:pPr>
      <w:r>
        <w:rPr>
          <w:rFonts w:eastAsia="MS Mincho;ＭＳ 明朝" w:cs="Times New Roman" w:ascii="Times New Roman" w:hAnsi="Times New Roman"/>
          <w:sz w:val="24"/>
        </w:rPr>
      </w:r>
    </w:p>
    <w:sectPr>
      <w:type w:val="nextPage"/>
      <w:pgSz w:w="11906" w:h="16838"/>
      <w:pgMar w:left="1152" w:right="1152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ourier New">
    <w:charset w:val="ee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 w:val="24"/>
        <w:szCs w:val="24"/>
        <w:lang w:val="sk-SK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SimSun" w:cs="Arial"/>
      <w:color w:val="auto"/>
      <w:kern w:val="2"/>
      <w:sz w:val="24"/>
      <w:szCs w:val="24"/>
      <w:lang w:val="sk-SK" w:eastAsia="zh-CN" w:bidi="hi-IN"/>
    </w:rPr>
  </w:style>
  <w:style w:type="character" w:styleId="Predvolenpsmoodseku">
    <w:name w:val="Predvolené písmo odseku"/>
    <w:qFormat/>
    <w:rPr/>
  </w:style>
  <w:style w:type="character" w:styleId="Zkladntext">
    <w:name w:val="Základný text_"/>
    <w:basedOn w:val="Predvolenpsmoodseku"/>
    <w:qFormat/>
    <w:rPr>
      <w:rFonts w:ascii="Times New Roman" w:hAnsi="Times New Roman" w:cs="Times New Roman"/>
      <w:sz w:val="18"/>
      <w:u w:val="none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Arial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Obyajntext">
    <w:name w:val="Obyčajný text"/>
    <w:basedOn w:val="Normal"/>
    <w:qFormat/>
    <w:pPr/>
    <w:rPr>
      <w:rFonts w:ascii="Courier New" w:hAnsi="Courier New" w:cs="Courier New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LibreOffice/6.0.3.2$Windows_X86_64 LibreOffice_project/8f48d515416608e3a835360314dac7e47fd0b821</Application>
  <Pages>3</Pages>
  <Words>1202</Words>
  <Characters>6963</Characters>
  <CharactersWithSpaces>8944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2023-06-08T09:21:19Z</dcterms:created>
  <dc:creator/>
  <dc:description/>
  <dc:language>sk-SK</dc:language>
  <cp:lastModifiedBy/>
  <cp:lastPrinted>2023-06-08T09:21:33Z</cp:lastPrinted>
  <dcterms:modified xsi:type="dcterms:W3CDTF">2023-06-08T09:22:10Z</dcterms:modified>
  <cp:revision>1</cp:revision>
  <dc:subject/>
  <dc:title/>
</cp:coreProperties>
</file>